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hAnsi="Times New Roman"/>
          <w:rtl w:val="0"/>
          <w:lang w:val="en-US"/>
        </w:rPr>
        <w:t>12 FEBRUARY 2020 MEETING OF THE VANCOUVER SENATE</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VOTE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STATUS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COMMITTEE THAT RECOMMENDED THE MOTION/SUBSECTION OF DOCKET WHERE MOTION CAN BE FOUND</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the Minutes of the Meeting of 22 January 2020 be adopted as corrected: </w:t>
            </w:r>
          </w:p>
          <w:p>
            <w:pPr>
              <w:pStyle w:val="Table Style 2"/>
            </w:pPr>
          </w:p>
          <w:p>
            <w:pPr>
              <w:pStyle w:val="Table Style 2"/>
            </w:pPr>
            <w:r>
              <w:rPr>
                <w:rFonts w:ascii="Times New Roman" w:hAnsi="Times New Roman"/>
                <w:i w:val="1"/>
                <w:iCs w:val="1"/>
                <w:rtl w:val="0"/>
              </w:rPr>
              <w:t>Corrections: Senator Tsiakos was present.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Minutes of 12 February 2020 </w:t>
            </w:r>
          </w:p>
        </w:tc>
      </w:tr>
      <w:tr>
        <w:tblPrEx>
          <w:shd w:val="clear" w:color="auto" w:fill="auto"/>
        </w:tblPrEx>
        <w:trPr>
          <w:trHeight w:val="32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 xml:space="preserve">That Senate approve changes the revised Calendar entry on admission to the Master of Public Policy and Global Affairs program as set out in the attached, effective for entry to the 2020 Winter Session and thereafter. </w:t>
            </w:r>
          </w:p>
          <w:p>
            <w:pPr>
              <w:pStyle w:val="Table Style 2"/>
            </w:pPr>
          </w:p>
          <w:p>
            <w:pPr>
              <w:pStyle w:val="Table Style 2"/>
            </w:pPr>
            <w:r>
              <w:rPr>
                <w:rFonts w:ascii="Times New Roman" w:hAnsi="Times New Roman"/>
                <w:i w:val="1"/>
                <w:iCs w:val="1"/>
                <w:rtl w:val="0"/>
              </w:rPr>
              <w:t xml:space="preserve">By general consent, the proposal was amended to strike </w:t>
            </w:r>
            <w:r>
              <w:rPr>
                <w:rFonts w:ascii="Times New Roman" w:hAnsi="Times New Roman" w:hint="default"/>
                <w:i w:val="1"/>
                <w:iCs w:val="1"/>
                <w:rtl w:val="0"/>
              </w:rPr>
              <w:t>“</w:t>
            </w:r>
            <w:r>
              <w:rPr>
                <w:rFonts w:ascii="Times New Roman" w:hAnsi="Times New Roman"/>
                <w:i w:val="1"/>
                <w:iCs w:val="1"/>
                <w:rtl w:val="0"/>
              </w:rPr>
              <w:t>or more</w:t>
            </w:r>
            <w:r>
              <w:rPr>
                <w:rFonts w:ascii="Times New Roman" w:hAnsi="Times New Roman" w:hint="default"/>
                <w:i w:val="1"/>
                <w:iCs w:val="1"/>
                <w:rtl w:val="0"/>
              </w:rPr>
              <w:t xml:space="preserve">” </w:t>
            </w:r>
            <w:r>
              <w:rPr>
                <w:rFonts w:ascii="Times New Roman" w:hAnsi="Times New Roman"/>
                <w:i w:val="1"/>
                <w:iCs w:val="1"/>
                <w:rtl w:val="0"/>
              </w:rPr>
              <w:t>from page 20.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Admissions Committee</w:t>
            </w:r>
          </w:p>
        </w:tc>
      </w:tr>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Senate approveand forward to the Board of Governors for approval the 2020-2021 enrolment targets for the Vancouver campus.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Admissions Committee</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accept the awards as listed and forward them to the Board of Governors for approval; and that letters of thanks be sent to the donors.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Awards Committee</w:t>
            </w:r>
          </w:p>
        </w:tc>
      </w:tr>
      <w:tr>
        <w:tblPrEx>
          <w:shd w:val="clear" w:color="auto" w:fill="auto"/>
        </w:tblPrEx>
        <w:trPr>
          <w:trHeight w:val="35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the new course codes, new courses, new programs, revision of calendar pages, revision of courses, revision of degree requirements, and revision of program be brought forward by the faculties of Applied Science, Arts, Forestry, Graduate and Postdoctoral Studies (Applied Science, Commerce and Business Administration, and Forestry), Allard Law, and Science be approved.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Curriculum committee</w:t>
            </w:r>
          </w:p>
        </w:tc>
      </w:tr>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the Master of Business Administration and Master of Business Analytics Dual Degree Program Option degree program be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Joint Report of the Admissions and Curriculum Committees</w:t>
            </w:r>
          </w:p>
        </w:tc>
      </w:tr>
      <w:tr>
        <w:tblPrEx>
          <w:shd w:val="clear" w:color="auto" w:fill="auto"/>
        </w:tblPrEx>
        <w:trPr>
          <w:trHeight w:val="28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the candidates for degrees as recommended by the faculties be granted the degree for which they were recommended, effective February 2020 and that a committee comprised of the Registrar, the dean of the relevant faculty, and the Chair of the Senate be empowered to make any necessary adjustments.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Other Business:</w:t>
            </w:r>
          </w:p>
          <w:p>
            <w:pPr>
              <w:pStyle w:val="Table Style 2"/>
            </w:pPr>
            <w:r>
              <w:rPr>
                <w:rFonts w:ascii="Times New Roman" w:hAnsi="Times New Roman"/>
                <w:rtl w:val="0"/>
              </w:rPr>
              <w:t>Candidates for degrees</w:t>
            </w:r>
          </w:p>
        </w:tc>
      </w:tr>
    </w:tbl>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